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2CE878" w14:textId="6E8E0011" w:rsidR="007617FD" w:rsidRDefault="007617FD" w:rsidP="007617FD">
      <w:pPr>
        <w:tabs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PATVIRTINTA</w:t>
      </w:r>
    </w:p>
    <w:p w14:paraId="2FDF10D9" w14:textId="77777777" w:rsidR="007617FD" w:rsidRDefault="007617FD" w:rsidP="007617FD">
      <w:pPr>
        <w:tabs>
          <w:tab w:val="left" w:pos="10206"/>
        </w:tabs>
        <w:jc w:val="right"/>
      </w:pPr>
      <w:r>
        <w:t>Panevėžio apygardos teismo pirmininko</w:t>
      </w:r>
    </w:p>
    <w:p w14:paraId="1B9612BA" w14:textId="2823FC66" w:rsidR="007617FD" w:rsidRDefault="007617FD" w:rsidP="007617FD">
      <w:pPr>
        <w:tabs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                                  2026 m. gegužės </w:t>
      </w:r>
      <w:r w:rsidR="00B41F9B">
        <w:t>8</w:t>
      </w:r>
      <w:r>
        <w:t xml:space="preserve"> d. įsakymu Nr</w:t>
      </w:r>
      <w:r w:rsidRPr="00EE13BF">
        <w:t>. V-</w:t>
      </w:r>
    </w:p>
    <w:p w14:paraId="0D4CC5B8" w14:textId="77777777" w:rsidR="007617FD" w:rsidRDefault="007617FD" w:rsidP="007617FD">
      <w:pPr>
        <w:jc w:val="right"/>
        <w:rPr>
          <w:rFonts w:eastAsia="Calibri"/>
          <w:b/>
          <w:bCs/>
          <w:color w:val="000000"/>
          <w:szCs w:val="24"/>
          <w:lang w:eastAsia="lt-LT"/>
        </w:rPr>
      </w:pPr>
    </w:p>
    <w:p w14:paraId="0E7FA353" w14:textId="77777777" w:rsidR="007617FD" w:rsidRDefault="007617FD" w:rsidP="007617FD">
      <w:pPr>
        <w:jc w:val="center"/>
        <w:rPr>
          <w:rFonts w:eastAsia="Calibri"/>
          <w:b/>
          <w:bCs/>
          <w:color w:val="000000"/>
          <w:szCs w:val="24"/>
          <w:lang w:eastAsia="lt-LT"/>
        </w:rPr>
      </w:pPr>
    </w:p>
    <w:p w14:paraId="2E9D76ED" w14:textId="5549E268" w:rsidR="007617FD" w:rsidRDefault="007617FD" w:rsidP="007617FD">
      <w:pPr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3A75D4">
        <w:rPr>
          <w:rFonts w:eastAsia="Calibri"/>
          <w:b/>
          <w:bCs/>
          <w:color w:val="000000"/>
          <w:szCs w:val="24"/>
          <w:lang w:eastAsia="lt-LT"/>
        </w:rPr>
        <w:t>ŠAKINIO LIETUVOS TEISMŲ SISTEMOS KORUPCIJOS PREVENCIJOS VEIKSMŲ PLANO 2026</w:t>
      </w:r>
      <w:r w:rsidRPr="003A75D4">
        <w:rPr>
          <w:rFonts w:eastAsia="Calibri"/>
          <w:b/>
          <w:bCs/>
          <w:szCs w:val="24"/>
          <w:lang w:eastAsia="lt-LT"/>
        </w:rPr>
        <w:t>–</w:t>
      </w:r>
      <w:r w:rsidRPr="003A75D4">
        <w:rPr>
          <w:rFonts w:eastAsia="Calibri"/>
          <w:b/>
          <w:bCs/>
          <w:color w:val="000000"/>
          <w:szCs w:val="24"/>
          <w:lang w:eastAsia="lt-LT"/>
        </w:rPr>
        <w:t xml:space="preserve">2029 METAMS </w:t>
      </w:r>
    </w:p>
    <w:p w14:paraId="69E836B1" w14:textId="77777777" w:rsidR="007617FD" w:rsidRDefault="007617FD" w:rsidP="007617FD">
      <w:pPr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3A75D4">
        <w:rPr>
          <w:rFonts w:eastAsia="Calibri"/>
          <w:b/>
          <w:bCs/>
          <w:color w:val="000000"/>
          <w:szCs w:val="24"/>
          <w:lang w:eastAsia="lt-LT"/>
        </w:rPr>
        <w:t xml:space="preserve">NUOLAT ĮGYVENDINAMŲ PRIEMONIŲ PLANAS </w:t>
      </w:r>
    </w:p>
    <w:p w14:paraId="5CBF8A54" w14:textId="0C8700EA" w:rsidR="00CD2A04" w:rsidRDefault="007617FD" w:rsidP="007617FD">
      <w:pPr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3A75D4">
        <w:rPr>
          <w:rFonts w:eastAsia="Calibri"/>
          <w:b/>
          <w:bCs/>
          <w:color w:val="000000"/>
          <w:szCs w:val="24"/>
          <w:lang w:eastAsia="lt-LT"/>
        </w:rPr>
        <w:t>2026–2029 METAMS</w:t>
      </w:r>
    </w:p>
    <w:p w14:paraId="38B420AA" w14:textId="77777777" w:rsidR="007617FD" w:rsidRDefault="007617FD" w:rsidP="007617FD">
      <w:pPr>
        <w:jc w:val="center"/>
      </w:pPr>
    </w:p>
    <w:tbl>
      <w:tblPr>
        <w:tblW w:w="14171" w:type="dxa"/>
        <w:tblInd w:w="-1" w:type="dxa"/>
        <w:tblLook w:val="04A0" w:firstRow="1" w:lastRow="0" w:firstColumn="1" w:lastColumn="0" w:noHBand="0" w:noVBand="1"/>
      </w:tblPr>
      <w:tblGrid>
        <w:gridCol w:w="556"/>
        <w:gridCol w:w="3446"/>
        <w:gridCol w:w="2971"/>
        <w:gridCol w:w="3481"/>
        <w:gridCol w:w="3717"/>
      </w:tblGrid>
      <w:tr w:rsidR="007617FD" w:rsidRPr="0071112B" w14:paraId="3511FD96" w14:textId="77777777" w:rsidTr="007617FD">
        <w:trPr>
          <w:trHeight w:val="5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032E7A3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BECFF2E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Priemonės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71112B">
              <w:rPr>
                <w:b/>
                <w:bCs/>
                <w:color w:val="000000"/>
                <w:szCs w:val="24"/>
                <w:lang w:eastAsia="lt-LT"/>
              </w:rPr>
              <w:t>/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71112B">
              <w:rPr>
                <w:b/>
                <w:bCs/>
                <w:color w:val="000000"/>
                <w:szCs w:val="24"/>
                <w:lang w:eastAsia="lt-LT"/>
              </w:rPr>
              <w:t>veiklos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064C93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Atsakingi vykdytojai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2B4627E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Įgyvendinimo vertinimo kriterijai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33535C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Pastabos</w:t>
            </w:r>
          </w:p>
        </w:tc>
      </w:tr>
      <w:tr w:rsidR="007617FD" w:rsidRPr="0071112B" w14:paraId="6C862995" w14:textId="77777777" w:rsidTr="0076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4171" w:type="dxa"/>
            <w:gridSpan w:val="5"/>
            <w:shd w:val="clear" w:color="auto" w:fill="B4C6E7" w:themeFill="accent1" w:themeFillTint="66"/>
            <w:vAlign w:val="center"/>
          </w:tcPr>
          <w:p w14:paraId="0E3A456D" w14:textId="77777777" w:rsidR="007617FD" w:rsidRPr="0071112B" w:rsidRDefault="007617FD" w:rsidP="004B6DF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>VEIKSMŲ PLANO TIKSLAS – KURTI KORUPCIJAI IR BET KOKIO POBŪDŽIO NETEISĖTAI ĮTAKAI ATSPARIĄ TEISMŲ SISTEMĄ, ŠALINTI KORUPCIJOS RIZIKOS TEISMŲ SISTEMOJE GRĖSMES.</w:t>
            </w:r>
          </w:p>
        </w:tc>
      </w:tr>
      <w:tr w:rsidR="007617FD" w:rsidRPr="0071112B" w14:paraId="0A7BAC3D" w14:textId="77777777" w:rsidTr="007617FD">
        <w:trPr>
          <w:trHeight w:val="520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F621CD" w14:textId="77777777" w:rsidR="007617FD" w:rsidRPr="0071112B" w:rsidRDefault="007617FD" w:rsidP="004B6DF3">
            <w:pPr>
              <w:jc w:val="center"/>
              <w:rPr>
                <w:b/>
                <w:bCs/>
                <w:color w:val="4472C4"/>
                <w:szCs w:val="24"/>
                <w:lang w:eastAsia="lt-LT"/>
              </w:rPr>
            </w:pPr>
            <w:r w:rsidRPr="0071112B">
              <w:rPr>
                <w:rFonts w:eastAsia="Calibri"/>
                <w:b/>
                <w:bCs/>
                <w:szCs w:val="24"/>
                <w:lang w:eastAsia="lt-LT"/>
              </w:rPr>
              <w:t>1 uždavinys – antikorupcinio sąmoningumo teismų sistemoje didinimas.</w:t>
            </w:r>
          </w:p>
        </w:tc>
      </w:tr>
      <w:tr w:rsidR="007617FD" w:rsidRPr="0071112B" w14:paraId="4B0E5452" w14:textId="77777777" w:rsidTr="007617FD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FE4" w14:textId="7777777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AC5B" w14:textId="2F6AFF89" w:rsidR="007617FD" w:rsidRPr="0071112B" w:rsidRDefault="007617FD" w:rsidP="004B6DF3">
            <w:pPr>
              <w:keepNext/>
              <w:keepLines/>
              <w:tabs>
                <w:tab w:val="left" w:pos="1950"/>
              </w:tabs>
              <w:rPr>
                <w:rFonts w:eastAsia="Calibri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>Teism</w:t>
            </w:r>
            <w:r w:rsidR="00552185">
              <w:rPr>
                <w:rFonts w:eastAsia="Calibri"/>
                <w:szCs w:val="24"/>
                <w:lang w:eastAsia="lt-LT"/>
              </w:rPr>
              <w:t>o</w:t>
            </w:r>
            <w:r>
              <w:rPr>
                <w:rFonts w:eastAsia="Calibri"/>
                <w:szCs w:val="24"/>
                <w:lang w:eastAsia="lt-LT"/>
              </w:rPr>
              <w:t xml:space="preserve"> darbuotojus </w:t>
            </w:r>
            <w:r w:rsidRPr="0071112B">
              <w:rPr>
                <w:rFonts w:eastAsia="Calibri"/>
                <w:szCs w:val="24"/>
                <w:lang w:eastAsia="lt-LT"/>
              </w:rPr>
              <w:t>supažindinti su Lietuvos teismų skaidrumo politika</w:t>
            </w:r>
            <w:r>
              <w:rPr>
                <w:rFonts w:eastAsia="Calibri"/>
                <w:szCs w:val="24"/>
                <w:lang w:eastAsia="lt-LT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8BA4" w14:textId="79F00853" w:rsidR="007617FD" w:rsidRPr="0071112B" w:rsidRDefault="007617FD" w:rsidP="00552185">
            <w:pPr>
              <w:jc w:val="center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Teism</w:t>
            </w:r>
            <w:r w:rsidR="00552185">
              <w:rPr>
                <w:szCs w:val="24"/>
                <w:lang w:eastAsia="lt-LT"/>
              </w:rPr>
              <w:t>o kancleris Vidas Sabonis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1B53" w14:textId="3EC67259" w:rsidR="007617FD" w:rsidRPr="0071112B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 xml:space="preserve">Visi naujai teismuose pradėję dirbti </w:t>
            </w:r>
            <w:r>
              <w:rPr>
                <w:rFonts w:eastAsia="Calibri"/>
                <w:szCs w:val="24"/>
                <w:lang w:eastAsia="lt-LT"/>
              </w:rPr>
              <w:t xml:space="preserve">teismų sistemos darbuotojai </w:t>
            </w:r>
            <w:r w:rsidRPr="0071112B">
              <w:rPr>
                <w:rFonts w:eastAsia="Calibri"/>
                <w:szCs w:val="24"/>
                <w:lang w:eastAsia="lt-LT"/>
              </w:rPr>
              <w:t>supažindinti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1112B">
              <w:rPr>
                <w:rFonts w:eastAsia="Calibri"/>
                <w:szCs w:val="24"/>
                <w:lang w:eastAsia="lt-LT"/>
              </w:rPr>
              <w:t>su Lietuvos teismų skaidrumo politika.</w:t>
            </w:r>
          </w:p>
          <w:p w14:paraId="289505A9" w14:textId="77777777" w:rsidR="007617FD" w:rsidRPr="0071112B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</w:p>
          <w:p w14:paraId="7806FB4F" w14:textId="0FCFBC82" w:rsidR="007617FD" w:rsidRPr="006C4C59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Teism</w:t>
            </w:r>
            <w:r w:rsidR="006F7476">
              <w:rPr>
                <w:rFonts w:eastAsia="Calibri"/>
                <w:szCs w:val="24"/>
                <w:lang w:eastAsia="lt-LT"/>
              </w:rPr>
              <w:t>o</w:t>
            </w:r>
            <w:r>
              <w:rPr>
                <w:rFonts w:eastAsia="Calibri"/>
                <w:szCs w:val="24"/>
                <w:lang w:eastAsia="lt-LT"/>
              </w:rPr>
              <w:t xml:space="preserve"> d</w:t>
            </w:r>
            <w:r w:rsidRPr="0071112B">
              <w:rPr>
                <w:rFonts w:eastAsia="Calibri"/>
                <w:szCs w:val="24"/>
                <w:lang w:eastAsia="lt-LT"/>
              </w:rPr>
              <w:t>arbuotojams kartą per metus primenama apie Lietuvos teismų  skaidrumo politiką</w:t>
            </w:r>
            <w:r>
              <w:rPr>
                <w:rFonts w:eastAsia="Calibri"/>
                <w:szCs w:val="24"/>
                <w:lang w:eastAsia="lt-LT"/>
              </w:rPr>
              <w:t>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FA83" w14:textId="1D7BD9CB" w:rsidR="007617FD" w:rsidRPr="00C3198C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Rekomenduojama</w:t>
            </w:r>
            <w:r>
              <w:rPr>
                <w:rFonts w:eastAsia="Calibri"/>
                <w:szCs w:val="24"/>
                <w:lang w:eastAsia="lt-LT"/>
              </w:rPr>
              <w:t xml:space="preserve"> s</w:t>
            </w:r>
            <w:r w:rsidRPr="0071112B">
              <w:rPr>
                <w:rFonts w:eastAsia="Calibri"/>
                <w:szCs w:val="24"/>
                <w:lang w:eastAsia="lt-LT"/>
              </w:rPr>
              <w:t>u korupcijos prevencija susijusius teisės aktus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ir kitus dokumentus </w:t>
            </w:r>
            <w:r>
              <w:rPr>
                <w:rFonts w:eastAsia="Calibri"/>
                <w:szCs w:val="24"/>
                <w:lang w:eastAsia="lt-LT"/>
              </w:rPr>
              <w:t>teism</w:t>
            </w:r>
            <w:r w:rsidR="0001720D">
              <w:rPr>
                <w:rFonts w:eastAsia="Calibri"/>
                <w:szCs w:val="24"/>
                <w:lang w:eastAsia="lt-LT"/>
              </w:rPr>
              <w:t>o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darbuotojams padaryti prieinamus vienoje vietoje </w:t>
            </w:r>
            <w:r w:rsidR="00B200CE">
              <w:rPr>
                <w:rFonts w:eastAsia="Calibri"/>
                <w:szCs w:val="24"/>
                <w:lang w:eastAsia="lt-LT"/>
              </w:rPr>
              <w:t>(</w:t>
            </w:r>
            <w:r w:rsidRPr="0071112B">
              <w:rPr>
                <w:rFonts w:eastAsia="Calibri"/>
                <w:szCs w:val="24"/>
                <w:lang w:eastAsia="lt-LT"/>
              </w:rPr>
              <w:t>teismo vidiniame tinkle specialiai sukurtame aplanke).</w:t>
            </w:r>
          </w:p>
        </w:tc>
      </w:tr>
      <w:tr w:rsidR="007617FD" w:rsidRPr="0071112B" w14:paraId="414475B9" w14:textId="77777777" w:rsidTr="007617F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BABB" w14:textId="7777777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9C2E" w14:textId="553BE204" w:rsidR="007617FD" w:rsidRPr="0071112B" w:rsidRDefault="006F7476" w:rsidP="004B6DF3">
            <w:pPr>
              <w:keepNext/>
              <w:keepLines/>
              <w:tabs>
                <w:tab w:val="left" w:pos="1950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</w:rPr>
              <w:t>Teismo</w:t>
            </w:r>
            <w:r w:rsidR="007617FD" w:rsidRPr="0071112B">
              <w:rPr>
                <w:szCs w:val="24"/>
              </w:rPr>
              <w:t xml:space="preserve"> viešose erdvėse skelbti informaciją, kaip pranešti STT</w:t>
            </w:r>
            <w:r w:rsidR="007617FD">
              <w:rPr>
                <w:szCs w:val="24"/>
              </w:rPr>
              <w:t>, Lietuvos Respublikos prokuratūrai</w:t>
            </w:r>
            <w:r w:rsidR="007617FD" w:rsidRPr="0071112B">
              <w:rPr>
                <w:szCs w:val="24"/>
              </w:rPr>
              <w:t xml:space="preserve"> apie pastebėtas korupcinio pobūdžio veikas</w:t>
            </w:r>
            <w:r w:rsidR="007617FD">
              <w:rPr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0D52" w14:textId="76C8FF9E" w:rsidR="007617FD" w:rsidRPr="0071112B" w:rsidRDefault="006F7476" w:rsidP="004B6DF3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</w:rPr>
              <w:t>Teismo pirmininko padėjėjas (ryšiams su žiniasklaida ir visuomene) Jolita Gudelienė</w:t>
            </w:r>
            <w:r w:rsidRPr="0071112B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E11F" w14:textId="38D2B6A7" w:rsidR="007617FD" w:rsidRPr="0071112B" w:rsidRDefault="006F7476" w:rsidP="004B6DF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Teismo</w:t>
            </w:r>
            <w:r w:rsidR="007617FD" w:rsidRPr="0071112B">
              <w:rPr>
                <w:szCs w:val="24"/>
                <w:lang w:eastAsia="lt-LT"/>
              </w:rPr>
              <w:t xml:space="preserve"> viešosiose erdvėse yra aiškiai pateikiama informacija apie korupcinio pobūdžio elgesio netoleravimą ir </w:t>
            </w:r>
            <w:r w:rsidR="007617FD">
              <w:rPr>
                <w:szCs w:val="24"/>
                <w:lang w:eastAsia="lt-LT"/>
              </w:rPr>
              <w:t xml:space="preserve">kaip </w:t>
            </w:r>
            <w:r w:rsidR="007617FD" w:rsidRPr="0071112B">
              <w:rPr>
                <w:szCs w:val="24"/>
                <w:lang w:eastAsia="lt-LT"/>
              </w:rPr>
              <w:t xml:space="preserve">pranešti </w:t>
            </w:r>
            <w:r w:rsidR="007617FD">
              <w:rPr>
                <w:szCs w:val="24"/>
                <w:lang w:eastAsia="lt-LT"/>
              </w:rPr>
              <w:t xml:space="preserve">STT, Lietuvos Respublikos prokuratūrai </w:t>
            </w:r>
            <w:r w:rsidR="007617FD" w:rsidRPr="0071112B">
              <w:rPr>
                <w:szCs w:val="24"/>
                <w:lang w:eastAsia="lt-LT"/>
              </w:rPr>
              <w:t>apie pastebėtas korupcinio pobūdžio veikas.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5667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</w:p>
        </w:tc>
      </w:tr>
      <w:tr w:rsidR="007617FD" w:rsidRPr="0071112B" w14:paraId="583FFDD6" w14:textId="77777777" w:rsidTr="007617FD">
        <w:trPr>
          <w:trHeight w:val="7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B25" w14:textId="3727602F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Pr="0071112B">
              <w:rPr>
                <w:szCs w:val="24"/>
                <w:lang w:eastAsia="lt-LT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568F5" w14:textId="6811F39F" w:rsidR="007617FD" w:rsidRPr="0071112B" w:rsidRDefault="007617FD" w:rsidP="004B6DF3">
            <w:pPr>
              <w:rPr>
                <w:rFonts w:eastAsia="Calibri"/>
                <w:color w:val="000000"/>
                <w:szCs w:val="24"/>
                <w:lang w:eastAsia="lt-LT"/>
              </w:rPr>
            </w:pPr>
            <w:r w:rsidRPr="0071112B">
              <w:rPr>
                <w:rFonts w:eastAsia="Calibri"/>
                <w:color w:val="000000"/>
                <w:szCs w:val="24"/>
                <w:lang w:eastAsia="lt-LT"/>
              </w:rPr>
              <w:t>Priminti teis</w:t>
            </w:r>
            <w:r w:rsidR="006F7476">
              <w:rPr>
                <w:rFonts w:eastAsia="Calibri"/>
                <w:color w:val="000000"/>
                <w:szCs w:val="24"/>
                <w:lang w:eastAsia="lt-LT"/>
              </w:rPr>
              <w:t>mo</w:t>
            </w:r>
            <w:r w:rsidRPr="0071112B">
              <w:rPr>
                <w:rFonts w:eastAsia="Calibri"/>
                <w:color w:val="000000"/>
                <w:szCs w:val="24"/>
                <w:lang w:eastAsia="lt-LT"/>
              </w:rPr>
              <w:t xml:space="preserve"> darbuotojams pareigą deklaruoti viešuosius ir privačius interesus.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7C23" w14:textId="2B0E7182" w:rsidR="007617FD" w:rsidRPr="0071112B" w:rsidRDefault="006F7476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Teismo administracijos sekretorė Daiva Liandzbergienė</w:t>
            </w:r>
          </w:p>
          <w:p w14:paraId="263F0B3B" w14:textId="7777777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E98F8" w14:textId="3C183DCB" w:rsidR="007617FD" w:rsidRPr="006C4C59" w:rsidRDefault="007617FD" w:rsidP="004B6DF3">
            <w:pPr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lastRenderedPageBreak/>
              <w:t>Teism</w:t>
            </w:r>
            <w:r w:rsidR="006F7476">
              <w:rPr>
                <w:szCs w:val="24"/>
                <w:lang w:eastAsia="lt-LT"/>
              </w:rPr>
              <w:t xml:space="preserve">o </w:t>
            </w:r>
            <w:r w:rsidRPr="0071112B">
              <w:rPr>
                <w:szCs w:val="24"/>
                <w:lang w:eastAsia="lt-LT"/>
              </w:rPr>
              <w:t>darbuotojams kas ketvirtį</w:t>
            </w:r>
            <w:r w:rsidRPr="0071112B"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  <w:r w:rsidRPr="0071112B">
              <w:rPr>
                <w:szCs w:val="24"/>
                <w:lang w:eastAsia="lt-LT"/>
              </w:rPr>
              <w:t xml:space="preserve">el. laišku </w:t>
            </w:r>
            <w:r w:rsidRPr="0071112B">
              <w:rPr>
                <w:rFonts w:eastAsia="Calibri"/>
                <w:color w:val="000000"/>
                <w:szCs w:val="24"/>
                <w:lang w:eastAsia="lt-LT"/>
              </w:rPr>
              <w:t xml:space="preserve">primenama apie pareigą deklaruoti viešuosius ir privačius </w:t>
            </w:r>
            <w:r w:rsidRPr="0071112B">
              <w:rPr>
                <w:rFonts w:eastAsia="Calibri"/>
                <w:color w:val="000000"/>
                <w:szCs w:val="24"/>
                <w:lang w:eastAsia="lt-LT"/>
              </w:rPr>
              <w:lastRenderedPageBreak/>
              <w:t>interesus. Nauji darbuotojai apie pareigą informuojami priėmus į darbą.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4752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</w:p>
        </w:tc>
      </w:tr>
      <w:tr w:rsidR="007617FD" w:rsidRPr="0071112B" w14:paraId="5D7AEB39" w14:textId="77777777" w:rsidTr="007617F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E0F" w14:textId="6553F372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71112B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E7DD4" w14:textId="22AB3FC9" w:rsidR="007617FD" w:rsidRPr="0071112B" w:rsidRDefault="007617FD" w:rsidP="004B6DF3">
            <w:pPr>
              <w:rPr>
                <w:rFonts w:eastAsia="Calibri"/>
                <w:color w:val="000000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>Vykdyti teism</w:t>
            </w:r>
            <w:r w:rsidR="003435E3">
              <w:rPr>
                <w:rFonts w:eastAsia="Calibri"/>
                <w:szCs w:val="24"/>
                <w:lang w:eastAsia="lt-LT"/>
              </w:rPr>
              <w:t xml:space="preserve">o </w:t>
            </w:r>
            <w:r w:rsidRPr="0071112B">
              <w:rPr>
                <w:rFonts w:eastAsia="Calibri"/>
                <w:szCs w:val="24"/>
                <w:lang w:eastAsia="lt-LT"/>
              </w:rPr>
              <w:t>darbuotojų viešųjų ir privačių interesų derinimo stebėseną, užtikrinant informacijos, esančios viešų</w:t>
            </w:r>
            <w:r>
              <w:rPr>
                <w:rFonts w:eastAsia="Calibri"/>
                <w:szCs w:val="24"/>
                <w:lang w:eastAsia="lt-LT"/>
              </w:rPr>
              <w:t>jų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 ir privačių interesų deklaracijose</w:t>
            </w:r>
            <w:r>
              <w:rPr>
                <w:rFonts w:eastAsia="Calibri"/>
                <w:szCs w:val="24"/>
                <w:lang w:eastAsia="lt-LT"/>
              </w:rPr>
              <w:t>,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 savalaikį pateikimą asmenims, atsakingiems už bylų skirstymą teisme.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5235" w14:textId="77777777" w:rsidR="003435E3" w:rsidRPr="0071112B" w:rsidRDefault="003435E3" w:rsidP="003435E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Teismo administracijos sekretorė Daiva Liandzbergienė</w:t>
            </w:r>
          </w:p>
          <w:p w14:paraId="6A4C4F86" w14:textId="7777777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3B8AD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 xml:space="preserve">Periodiškai atliekami </w:t>
            </w:r>
            <w:r>
              <w:rPr>
                <w:szCs w:val="24"/>
                <w:lang w:eastAsia="lt-LT"/>
              </w:rPr>
              <w:t xml:space="preserve">teismų sistemos </w:t>
            </w:r>
            <w:r w:rsidRPr="0071112B">
              <w:rPr>
                <w:szCs w:val="24"/>
                <w:lang w:eastAsia="lt-LT"/>
              </w:rPr>
              <w:t>darbuotoj</w:t>
            </w:r>
            <w:r>
              <w:rPr>
                <w:szCs w:val="24"/>
                <w:lang w:eastAsia="lt-LT"/>
              </w:rPr>
              <w:t xml:space="preserve">ų </w:t>
            </w:r>
            <w:r w:rsidRPr="0071112B">
              <w:rPr>
                <w:szCs w:val="24"/>
                <w:lang w:eastAsia="lt-LT"/>
              </w:rPr>
              <w:t xml:space="preserve"> privačių interesų deklaracijų pildymo, tikslinimo ir pateikimo taisyklių laikymosi patikrinimai, susisteminti duomenys dėl galimų interesų konfliktų pateikti teismo pirmininkui ir</w:t>
            </w:r>
            <w:r>
              <w:rPr>
                <w:szCs w:val="24"/>
                <w:lang w:eastAsia="lt-LT"/>
              </w:rPr>
              <w:t> (</w:t>
            </w:r>
            <w:r w:rsidRPr="0071112B">
              <w:rPr>
                <w:szCs w:val="24"/>
                <w:lang w:eastAsia="lt-LT"/>
              </w:rPr>
              <w:t>ar</w:t>
            </w:r>
            <w:r>
              <w:rPr>
                <w:szCs w:val="24"/>
                <w:lang w:eastAsia="lt-LT"/>
              </w:rPr>
              <w:t>)</w:t>
            </w:r>
            <w:r w:rsidRPr="0071112B">
              <w:rPr>
                <w:szCs w:val="24"/>
                <w:lang w:eastAsia="lt-LT"/>
              </w:rPr>
              <w:t xml:space="preserve"> skyrių pirmininkams bei bylas skirstantiems asmenims.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07507" w14:textId="77777777" w:rsidR="007617FD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Rekomenduojama</w:t>
            </w:r>
            <w:r>
              <w:rPr>
                <w:szCs w:val="24"/>
                <w:lang w:eastAsia="lt-LT"/>
              </w:rPr>
              <w:t>:</w:t>
            </w:r>
          </w:p>
          <w:p w14:paraId="6A365F83" w14:textId="77777777" w:rsidR="007617FD" w:rsidRDefault="007617FD" w:rsidP="004B6DF3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1) </w:t>
            </w:r>
            <w:r w:rsidRPr="0071112B">
              <w:rPr>
                <w:szCs w:val="24"/>
                <w:lang w:eastAsia="lt-LT"/>
              </w:rPr>
              <w:t>t</w:t>
            </w:r>
            <w:r w:rsidRPr="0071112B">
              <w:rPr>
                <w:szCs w:val="24"/>
              </w:rPr>
              <w:t>eismų organizacinės veiklos priežiūros planuose kasmet numatyti priemonę, susijusią su privačių interesų deklaracijų pildymo, tikslinimo ir pateikimo taisyklių laikymosi kontrole</w:t>
            </w:r>
            <w:r>
              <w:rPr>
                <w:szCs w:val="24"/>
              </w:rPr>
              <w:t>;</w:t>
            </w:r>
          </w:p>
          <w:p w14:paraId="42FB19DA" w14:textId="77777777" w:rsidR="007617FD" w:rsidRDefault="007617FD" w:rsidP="004B6DF3">
            <w:pPr>
              <w:jc w:val="both"/>
              <w:rPr>
                <w:szCs w:val="24"/>
              </w:rPr>
            </w:pPr>
          </w:p>
          <w:p w14:paraId="361BA44D" w14:textId="77777777" w:rsidR="007617FD" w:rsidRPr="0071112B" w:rsidRDefault="007617FD" w:rsidP="004B6D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pradėjus veikti LITEKOII, bylas skirstantiems asmenims rekomenduojama tikrinti į LITEKOII tiesiogiai iš Privačių interesų registro pateikiamus teisėjų viešųjų ir privačių interesų deklaracijų duomenis, taip pat atskirai įvertinti tiesiogiai Privačių interesų registre esančius ir į LITEKOII nepateikiamus teisėjų viešųjų ir privačių interesų deklaracijų duomenis dėl ryšių su prokurorais, advokatais ir advokatų padėjėjais.</w:t>
            </w:r>
          </w:p>
        </w:tc>
      </w:tr>
      <w:tr w:rsidR="007617FD" w:rsidRPr="0071112B" w14:paraId="1A50318F" w14:textId="77777777" w:rsidTr="007617FD">
        <w:trPr>
          <w:trHeight w:val="510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9ECDF6" w14:textId="77777777" w:rsidR="007617FD" w:rsidRPr="0071112B" w:rsidRDefault="007617FD" w:rsidP="004B6DF3">
            <w:pPr>
              <w:spacing w:before="120" w:after="100" w:afterAutospacing="1"/>
              <w:jc w:val="center"/>
              <w:rPr>
                <w:szCs w:val="24"/>
                <w:lang w:eastAsia="lt-LT"/>
              </w:rPr>
            </w:pPr>
            <w:r w:rsidRPr="0071112B">
              <w:rPr>
                <w:b/>
                <w:bCs/>
                <w:color w:val="000000"/>
                <w:szCs w:val="24"/>
                <w:lang w:eastAsia="lt-LT"/>
              </w:rPr>
              <w:t xml:space="preserve">2 uždavinys </w:t>
            </w:r>
            <w:r w:rsidRPr="0071112B">
              <w:rPr>
                <w:rFonts w:eastAsia="Calibri"/>
                <w:b/>
                <w:bCs/>
                <w:szCs w:val="24"/>
                <w:lang w:eastAsia="lt-LT"/>
              </w:rPr>
              <w:t>–</w:t>
            </w:r>
            <w:r w:rsidRPr="0071112B">
              <w:rPr>
                <w:b/>
                <w:bCs/>
                <w:color w:val="000000"/>
                <w:szCs w:val="24"/>
                <w:lang w:eastAsia="lt-LT"/>
              </w:rPr>
              <w:t xml:space="preserve"> veiklos skaidrumo ir atvirumo užtikrinimas.</w:t>
            </w:r>
          </w:p>
        </w:tc>
      </w:tr>
      <w:tr w:rsidR="007617FD" w:rsidRPr="0071112B" w14:paraId="3E4CAAAC" w14:textId="77777777" w:rsidTr="007617F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09A" w14:textId="3E81991C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Pr="0071112B">
              <w:rPr>
                <w:szCs w:val="24"/>
                <w:lang w:eastAsia="lt-LT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FF984" w14:textId="7594E0B3" w:rsidR="007617FD" w:rsidRPr="0071112B" w:rsidRDefault="007617FD" w:rsidP="004B6DF3">
            <w:pPr>
              <w:rPr>
                <w:rFonts w:eastAsia="Calibri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>Viešinti teism</w:t>
            </w:r>
            <w:r w:rsidR="006A7E91">
              <w:rPr>
                <w:rFonts w:eastAsia="Calibri"/>
                <w:szCs w:val="24"/>
                <w:lang w:eastAsia="lt-LT"/>
              </w:rPr>
              <w:t>o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 pirminink</w:t>
            </w:r>
            <w:r w:rsidR="006A7E91">
              <w:rPr>
                <w:rFonts w:eastAsia="Calibri"/>
                <w:szCs w:val="24"/>
                <w:lang w:eastAsia="lt-LT"/>
              </w:rPr>
              <w:t>o</w:t>
            </w:r>
            <w:r w:rsidRPr="0071112B">
              <w:rPr>
                <w:rFonts w:eastAsia="Calibri"/>
                <w:szCs w:val="24"/>
                <w:lang w:eastAsia="lt-LT"/>
              </w:rPr>
              <w:t>, skyrių pirmininkų, teismo kancleri</w:t>
            </w:r>
            <w:r w:rsidR="003435E3">
              <w:rPr>
                <w:rFonts w:eastAsia="Calibri"/>
                <w:szCs w:val="24"/>
                <w:lang w:eastAsia="lt-LT"/>
              </w:rPr>
              <w:t>o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 darbotvarkes.</w:t>
            </w:r>
          </w:p>
          <w:p w14:paraId="72743848" w14:textId="77777777" w:rsidR="007617FD" w:rsidRPr="0071112B" w:rsidRDefault="007617FD" w:rsidP="004B6DF3">
            <w:pPr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F633" w14:textId="38450B39" w:rsidR="007617FD" w:rsidRPr="0071112B" w:rsidRDefault="003435E3" w:rsidP="004B6DF3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</w:rPr>
              <w:t>Teismo pirmininko padėjėjas (ryšiams su žiniasklaida ir visuomene) Jolita Gudelienė</w:t>
            </w:r>
            <w:r w:rsidRPr="0071112B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103EE" w14:textId="0FB2A022" w:rsidR="007617FD" w:rsidRPr="0071112B" w:rsidRDefault="0001720D" w:rsidP="004B6DF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7617FD" w:rsidRPr="0071112B">
              <w:rPr>
                <w:szCs w:val="24"/>
                <w:lang w:eastAsia="lt-LT"/>
              </w:rPr>
              <w:t xml:space="preserve">eismo interneto svetainėje skelbiamos teismo pirmininko, skyrių pirmininkų, </w:t>
            </w:r>
            <w:r w:rsidR="007617FD">
              <w:rPr>
                <w:szCs w:val="24"/>
                <w:lang w:eastAsia="lt-LT"/>
              </w:rPr>
              <w:t>teismo kancleri</w:t>
            </w:r>
            <w:r>
              <w:rPr>
                <w:szCs w:val="24"/>
                <w:lang w:eastAsia="lt-LT"/>
              </w:rPr>
              <w:t>o</w:t>
            </w:r>
            <w:r w:rsidR="007617FD" w:rsidRPr="0071112B">
              <w:rPr>
                <w:szCs w:val="24"/>
                <w:lang w:eastAsia="lt-LT"/>
              </w:rPr>
              <w:t xml:space="preserve"> darbotvarkės.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8F9D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 xml:space="preserve">Rekomenduojama: </w:t>
            </w:r>
          </w:p>
          <w:p w14:paraId="05F23ED3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1) skelbti informaciją apie:</w:t>
            </w:r>
          </w:p>
          <w:p w14:paraId="3960CE63" w14:textId="005A3AF1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 xml:space="preserve">– susitikimus su valstybės institucijų, kitų juridinių asmenų ar organizacijų atstovais, fiziniais asmenimis (ne teismo personalu), </w:t>
            </w:r>
            <w:r w:rsidRPr="0071112B">
              <w:rPr>
                <w:szCs w:val="24"/>
                <w:lang w:eastAsia="lt-LT"/>
              </w:rPr>
              <w:lastRenderedPageBreak/>
              <w:t>nepaisant jų formato (posėdžiai, pasitarimai, teismo organizuojami renginiai ir pan.) ir jų tikslą, datą</w:t>
            </w:r>
            <w:r>
              <w:rPr>
                <w:szCs w:val="24"/>
                <w:lang w:eastAsia="lt-LT"/>
              </w:rPr>
              <w:t> </w:t>
            </w:r>
            <w:r w:rsidRPr="0071112B">
              <w:rPr>
                <w:szCs w:val="24"/>
                <w:lang w:eastAsia="lt-LT"/>
              </w:rPr>
              <w:t>/</w:t>
            </w:r>
            <w:r>
              <w:rPr>
                <w:szCs w:val="24"/>
                <w:lang w:eastAsia="lt-LT"/>
              </w:rPr>
              <w:t> </w:t>
            </w:r>
            <w:r w:rsidRPr="0071112B">
              <w:rPr>
                <w:szCs w:val="24"/>
                <w:lang w:eastAsia="lt-LT"/>
              </w:rPr>
              <w:t>laiką, dalyvaujančius asmenis;</w:t>
            </w:r>
          </w:p>
          <w:p w14:paraId="51DA8C79" w14:textId="2093E521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–</w:t>
            </w:r>
            <w:r w:rsidR="0001720D">
              <w:rPr>
                <w:szCs w:val="24"/>
                <w:lang w:eastAsia="lt-LT"/>
              </w:rPr>
              <w:t xml:space="preserve"> </w:t>
            </w:r>
            <w:r w:rsidRPr="0071112B">
              <w:rPr>
                <w:szCs w:val="24"/>
                <w:lang w:eastAsia="lt-LT"/>
              </w:rPr>
              <w:t>dalyvavimą ne teismo</w:t>
            </w:r>
            <w:r w:rsidR="0001720D">
              <w:rPr>
                <w:szCs w:val="24"/>
                <w:lang w:eastAsia="lt-LT"/>
              </w:rPr>
              <w:t xml:space="preserve"> </w:t>
            </w:r>
            <w:r w:rsidRPr="0071112B">
              <w:rPr>
                <w:szCs w:val="24"/>
                <w:lang w:eastAsia="lt-LT"/>
              </w:rPr>
              <w:t>organizuojamuose įvairaus formato renginiuose ir jų tikslą, datą</w:t>
            </w:r>
            <w:r>
              <w:rPr>
                <w:szCs w:val="24"/>
                <w:lang w:eastAsia="lt-LT"/>
              </w:rPr>
              <w:t> </w:t>
            </w:r>
            <w:r w:rsidRPr="0071112B">
              <w:rPr>
                <w:szCs w:val="24"/>
                <w:lang w:eastAsia="lt-LT"/>
              </w:rPr>
              <w:t>/</w:t>
            </w:r>
            <w:r>
              <w:rPr>
                <w:szCs w:val="24"/>
                <w:lang w:eastAsia="lt-LT"/>
              </w:rPr>
              <w:t> </w:t>
            </w:r>
            <w:r w:rsidRPr="0071112B">
              <w:rPr>
                <w:szCs w:val="24"/>
                <w:lang w:eastAsia="lt-LT"/>
              </w:rPr>
              <w:t>laiką, dalyvaujančius asmenis (asmenų grupes);</w:t>
            </w:r>
          </w:p>
          <w:p w14:paraId="484BD5FF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>2) darbotvarkėse neskelbti informacijos apie bylų nagrinėjimą;</w:t>
            </w:r>
          </w:p>
          <w:p w14:paraId="205D81E3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  <w:r w:rsidRPr="0071112B">
              <w:rPr>
                <w:szCs w:val="24"/>
                <w:lang w:eastAsia="lt-LT"/>
              </w:rPr>
              <w:t xml:space="preserve">3) užtikrinti, kad būtų skelbiama darbotvarkių informacijos istorija ne trumpesnė nei už praėjusius vienerius metus.   </w:t>
            </w:r>
          </w:p>
        </w:tc>
      </w:tr>
      <w:tr w:rsidR="007617FD" w:rsidRPr="0071112B" w14:paraId="3170A7E0" w14:textId="77777777" w:rsidTr="007617F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DB8" w14:textId="620FF280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</w:t>
            </w:r>
            <w:r w:rsidRPr="0071112B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5F64" w14:textId="055C5A7A" w:rsidR="007617FD" w:rsidRPr="0071112B" w:rsidRDefault="007617FD" w:rsidP="004B6DF3">
            <w:pPr>
              <w:rPr>
                <w:rFonts w:eastAsia="Calibri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 xml:space="preserve">Atlikti </w:t>
            </w:r>
            <w:r>
              <w:rPr>
                <w:rFonts w:eastAsia="Calibri"/>
                <w:szCs w:val="24"/>
                <w:lang w:eastAsia="lt-LT"/>
              </w:rPr>
              <w:t>teism</w:t>
            </w:r>
            <w:r w:rsidR="0001720D">
              <w:rPr>
                <w:rFonts w:eastAsia="Calibri"/>
                <w:szCs w:val="24"/>
                <w:lang w:eastAsia="lt-LT"/>
              </w:rPr>
              <w:t>o</w:t>
            </w:r>
            <w:r>
              <w:rPr>
                <w:rFonts w:eastAsia="Calibri"/>
                <w:szCs w:val="24"/>
                <w:lang w:eastAsia="lt-LT"/>
              </w:rPr>
              <w:t xml:space="preserve"> rengiamų </w:t>
            </w:r>
            <w:r w:rsidRPr="0071112B">
              <w:rPr>
                <w:rFonts w:eastAsia="Calibri"/>
                <w:szCs w:val="24"/>
                <w:lang w:eastAsia="lt-LT"/>
              </w:rPr>
              <w:t>teisės aktų projektų, atitinkančių Korupcijos prevencijos įstatyme numatytus kriterijus, antikorupcinį vertinimą</w:t>
            </w:r>
            <w:r>
              <w:rPr>
                <w:rFonts w:eastAsia="Calibri"/>
                <w:szCs w:val="24"/>
                <w:lang w:eastAsia="lt-LT"/>
              </w:rPr>
              <w:t>.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E471C" w14:textId="511D4135" w:rsidR="007617FD" w:rsidRPr="0071112B" w:rsidRDefault="0001720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Teismo pirmininko patarėja </w:t>
            </w:r>
            <w:r w:rsidR="00B200CE">
              <w:rPr>
                <w:szCs w:val="24"/>
                <w:lang w:eastAsia="lt-LT"/>
              </w:rPr>
              <w:t>Indrė Kairelienė</w:t>
            </w:r>
          </w:p>
          <w:p w14:paraId="7D9AD775" w14:textId="7777777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89EFD" w14:textId="0D6E56B3" w:rsidR="007617FD" w:rsidRPr="0071112B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1112B">
              <w:rPr>
                <w:rFonts w:eastAsia="Calibri"/>
                <w:szCs w:val="24"/>
                <w:lang w:eastAsia="lt-LT"/>
              </w:rPr>
              <w:t xml:space="preserve">Atliekamas  </w:t>
            </w:r>
            <w:r>
              <w:rPr>
                <w:rFonts w:eastAsia="Calibri"/>
                <w:szCs w:val="24"/>
                <w:lang w:eastAsia="lt-LT"/>
              </w:rPr>
              <w:t>teism</w:t>
            </w:r>
            <w:r w:rsidR="00B200CE">
              <w:rPr>
                <w:rFonts w:eastAsia="Calibri"/>
                <w:szCs w:val="24"/>
                <w:lang w:eastAsia="lt-LT"/>
              </w:rPr>
              <w:t>o</w:t>
            </w:r>
            <w:r>
              <w:rPr>
                <w:rFonts w:eastAsia="Calibri"/>
                <w:szCs w:val="24"/>
                <w:lang w:eastAsia="lt-LT"/>
              </w:rPr>
              <w:t xml:space="preserve"> rengiamų </w:t>
            </w:r>
            <w:r w:rsidRPr="0071112B">
              <w:rPr>
                <w:rFonts w:eastAsia="Calibri"/>
                <w:szCs w:val="24"/>
                <w:lang w:eastAsia="lt-LT"/>
              </w:rPr>
              <w:t xml:space="preserve">teisės aktų projektų, atitinkančių Korupcijos prevencijos įstatyme numatytus kriterijus, antikorupcinis vertinimas. 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81093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</w:p>
        </w:tc>
      </w:tr>
      <w:tr w:rsidR="007617FD" w:rsidRPr="0071112B" w14:paraId="62314DE2" w14:textId="77777777" w:rsidTr="007617F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95C" w14:textId="0AE7B097" w:rsidR="007617FD" w:rsidRPr="0071112B" w:rsidRDefault="007617FD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AC838" w14:textId="672D9086" w:rsidR="007617FD" w:rsidRPr="0071112B" w:rsidRDefault="007617FD" w:rsidP="004B6DF3">
            <w:pPr>
              <w:rPr>
                <w:rFonts w:eastAsia="Calibri"/>
                <w:szCs w:val="24"/>
                <w:lang w:eastAsia="lt-LT"/>
              </w:rPr>
            </w:pPr>
            <w:r w:rsidRPr="00724C69">
              <w:rPr>
                <w:rFonts w:eastAsia="Calibri"/>
                <w:color w:val="000000"/>
                <w:szCs w:val="24"/>
                <w:lang w:eastAsia="lt-LT"/>
              </w:rPr>
              <w:t>Vykdyti asmenų aptarnavimo teism</w:t>
            </w:r>
            <w:r w:rsidR="00B200CE">
              <w:rPr>
                <w:rFonts w:eastAsia="Calibri"/>
                <w:color w:val="000000"/>
                <w:szCs w:val="24"/>
                <w:lang w:eastAsia="lt-LT"/>
              </w:rPr>
              <w:t>e</w:t>
            </w:r>
            <w:r w:rsidRPr="00724C69">
              <w:rPr>
                <w:rFonts w:eastAsia="Calibri"/>
                <w:color w:val="000000"/>
                <w:szCs w:val="24"/>
                <w:lang w:eastAsia="lt-LT"/>
              </w:rPr>
              <w:t xml:space="preserve"> kokybės apklausas</w:t>
            </w:r>
            <w:r w:rsidR="00832F3C">
              <w:rPr>
                <w:rFonts w:eastAsia="Calibri"/>
                <w:color w:val="000000"/>
                <w:szCs w:val="24"/>
                <w:lang w:eastAsia="lt-LT"/>
              </w:rPr>
              <w:t>.</w:t>
            </w:r>
            <w:r w:rsidRPr="00724C69"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FF877" w14:textId="134EBB08" w:rsidR="007617FD" w:rsidRPr="0071112B" w:rsidRDefault="00B200CE" w:rsidP="004B6D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Teismo raštinės skyriaus vedėja Jolanta Kisieliūtė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BCB44" w14:textId="721C3DDF" w:rsidR="007617FD" w:rsidRPr="0071112B" w:rsidRDefault="007617FD" w:rsidP="004B6DF3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24C69">
              <w:rPr>
                <w:rFonts w:eastAsia="Calibri"/>
                <w:color w:val="000000"/>
                <w:szCs w:val="24"/>
                <w:lang w:eastAsia="lt-LT"/>
              </w:rPr>
              <w:t>Atliktos apklausos teisme, stebimas asmenų aptarnavimo kokybės teism</w:t>
            </w:r>
            <w:r w:rsidR="00B200CE">
              <w:rPr>
                <w:rFonts w:eastAsia="Calibri"/>
                <w:color w:val="000000"/>
                <w:szCs w:val="24"/>
                <w:lang w:eastAsia="lt-LT"/>
              </w:rPr>
              <w:t>e</w:t>
            </w:r>
            <w:r w:rsidRPr="00724C69">
              <w:rPr>
                <w:rFonts w:eastAsia="Calibri"/>
                <w:color w:val="000000"/>
                <w:szCs w:val="24"/>
                <w:lang w:eastAsia="lt-LT"/>
              </w:rPr>
              <w:t xml:space="preserve"> vertinimas, nustatomos tobulintinos veiklos sritys.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C7F8" w14:textId="77777777" w:rsidR="007617FD" w:rsidRPr="0071112B" w:rsidRDefault="007617FD" w:rsidP="004B6DF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B7B619B" w14:textId="77777777" w:rsidR="007617FD" w:rsidRDefault="007617FD" w:rsidP="007617FD">
      <w:pPr>
        <w:jc w:val="both"/>
      </w:pPr>
    </w:p>
    <w:p w14:paraId="211B0FBF" w14:textId="77777777" w:rsidR="007617FD" w:rsidRDefault="007617FD" w:rsidP="007617FD">
      <w:pPr>
        <w:jc w:val="both"/>
      </w:pPr>
    </w:p>
    <w:p w14:paraId="445E0494" w14:textId="50E38090" w:rsidR="007617FD" w:rsidRDefault="007617FD" w:rsidP="007617FD">
      <w:pPr>
        <w:jc w:val="center"/>
      </w:pPr>
      <w:r>
        <w:t>_______________</w:t>
      </w:r>
    </w:p>
    <w:sectPr w:rsidR="007617FD" w:rsidSect="00761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9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FD5F" w14:textId="77777777" w:rsidR="00C75169" w:rsidRDefault="00C75169" w:rsidP="00150AFF">
      <w:r>
        <w:separator/>
      </w:r>
    </w:p>
  </w:endnote>
  <w:endnote w:type="continuationSeparator" w:id="0">
    <w:p w14:paraId="50AD7F55" w14:textId="77777777" w:rsidR="00C75169" w:rsidRDefault="00C75169" w:rsidP="0015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A0E2" w14:textId="77777777" w:rsidR="00150AFF" w:rsidRDefault="00150A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4F9A" w14:textId="77777777" w:rsidR="00150AFF" w:rsidRDefault="00150A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327" w14:textId="77777777" w:rsidR="00150AFF" w:rsidRDefault="00150A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67FB" w14:textId="77777777" w:rsidR="00C75169" w:rsidRDefault="00C75169" w:rsidP="00150AFF">
      <w:r>
        <w:separator/>
      </w:r>
    </w:p>
  </w:footnote>
  <w:footnote w:type="continuationSeparator" w:id="0">
    <w:p w14:paraId="650B1DCF" w14:textId="77777777" w:rsidR="00C75169" w:rsidRDefault="00C75169" w:rsidP="0015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CC9F" w14:textId="77777777" w:rsidR="00150AFF" w:rsidRDefault="00150A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763204"/>
      <w:docPartObj>
        <w:docPartGallery w:val="Page Numbers (Top of Page)"/>
        <w:docPartUnique/>
      </w:docPartObj>
    </w:sdtPr>
    <w:sdtContent>
      <w:p w14:paraId="18B50225" w14:textId="2F887F6B" w:rsidR="00150AFF" w:rsidRDefault="00150A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2501E" w14:textId="77777777" w:rsidR="00150AFF" w:rsidRDefault="00150A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30B6" w14:textId="77777777" w:rsidR="00150AFF" w:rsidRDefault="00150A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5E"/>
    <w:rsid w:val="0001720D"/>
    <w:rsid w:val="00084654"/>
    <w:rsid w:val="00087197"/>
    <w:rsid w:val="00150AFF"/>
    <w:rsid w:val="001912FC"/>
    <w:rsid w:val="001B258E"/>
    <w:rsid w:val="00241882"/>
    <w:rsid w:val="002A6D5E"/>
    <w:rsid w:val="00332256"/>
    <w:rsid w:val="003435E3"/>
    <w:rsid w:val="00355FB6"/>
    <w:rsid w:val="00552185"/>
    <w:rsid w:val="005A4138"/>
    <w:rsid w:val="006A7E91"/>
    <w:rsid w:val="006B49EA"/>
    <w:rsid w:val="006F7476"/>
    <w:rsid w:val="0070572D"/>
    <w:rsid w:val="007617FD"/>
    <w:rsid w:val="00832F3C"/>
    <w:rsid w:val="0085522A"/>
    <w:rsid w:val="00887836"/>
    <w:rsid w:val="00977F11"/>
    <w:rsid w:val="00980A63"/>
    <w:rsid w:val="009F4030"/>
    <w:rsid w:val="00A16893"/>
    <w:rsid w:val="00AB3FC8"/>
    <w:rsid w:val="00AF2DF5"/>
    <w:rsid w:val="00B0465D"/>
    <w:rsid w:val="00B200CE"/>
    <w:rsid w:val="00B41F9B"/>
    <w:rsid w:val="00C35640"/>
    <w:rsid w:val="00C75169"/>
    <w:rsid w:val="00CD2A04"/>
    <w:rsid w:val="00D60024"/>
    <w:rsid w:val="00D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57DE"/>
  <w15:chartTrackingRefBased/>
  <w15:docId w15:val="{C2F7133F-9796-46A8-AFBA-CD4261D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6D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D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D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D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D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D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D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D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D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D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D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D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D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D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D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D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D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D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D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A6D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D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D5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50A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0AFF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50A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0AFF"/>
    <w:rPr>
      <w:rFonts w:ascii="Times New Roman" w:eastAsia="Times New Roman" w:hAnsi="Times New Roman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AFCA-585F-4D2B-900C-3C729EBC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Sabonis</dc:creator>
  <cp:keywords/>
  <dc:description/>
  <cp:lastModifiedBy>Jolita Gudelienė</cp:lastModifiedBy>
  <cp:revision>2</cp:revision>
  <cp:lastPrinted>2026-05-07T12:36:00Z</cp:lastPrinted>
  <dcterms:created xsi:type="dcterms:W3CDTF">2026-05-08T10:35:00Z</dcterms:created>
  <dcterms:modified xsi:type="dcterms:W3CDTF">2026-05-08T10:35:00Z</dcterms:modified>
</cp:coreProperties>
</file>